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1" w:name="Xfd7a96a0c42892cc4fa421a21718e8c59d63fe6"/>
    <w:p>
      <w:pPr>
        <w:pStyle w:val="Heading1"/>
      </w:pPr>
      <w:r>
        <w:t xml:space="preserve">Poziomica laserowa – instrukcja użytkowania</w:t>
      </w:r>
    </w:p>
    <w:bookmarkStart w:id="20" w:name="zastosowanie-i-opis-urządzenia"/>
    <w:p>
      <w:pPr>
        <w:pStyle w:val="Heading2"/>
      </w:pPr>
      <w:r>
        <w:t xml:space="preserve">Zastosowanie i opis urządzenia</w:t>
      </w:r>
    </w:p>
    <w:p>
      <w:pPr>
        <w:pStyle w:val="FirstParagraph"/>
      </w:pPr>
      <w:r>
        <w:t xml:space="preserve">Poziomica laserowa to idealne narzędzie dla majsterkowiczów. Sprawdzi się podczas prac domowych, budowlanych oraz remontowych.</w:t>
      </w:r>
    </w:p>
    <w:p>
      <w:pPr>
        <w:pStyle w:val="BodyText"/>
      </w:pPr>
      <w:r>
        <w:t xml:space="preserve">Urządzenie posiada laser do wyznaczania poziomu, pionu lub punktu. Dzięki temu łatwiej i szybciej można wyznaczyć dowolną trasę do wieszania obrazów, kładzenia glazury itp.</w:t>
      </w:r>
    </w:p>
    <w:p>
      <w:pPr>
        <w:pStyle w:val="BodyText"/>
      </w:pPr>
      <w:r>
        <w:t xml:space="preserve">Poziomica, oprócz lasera, posiada również:</w:t>
      </w:r>
      <w:r>
        <w:t xml:space="preserve"> </w:t>
      </w:r>
      <w:r>
        <w:t xml:space="preserve">- czytelną</w:t>
      </w:r>
      <w:r>
        <w:t xml:space="preserve"> </w:t>
      </w:r>
      <w:r>
        <w:rPr>
          <w:b/>
          <w:bCs/>
        </w:rPr>
        <w:t xml:space="preserve">miarkę standardową do 15 cm (6 cali)</w:t>
      </w:r>
      <w:r>
        <w:t xml:space="preserve">,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miarkę zwijaną do 250 cm</w:t>
      </w:r>
      <w:r>
        <w:t xml:space="preserve"> </w:t>
      </w:r>
      <w:r>
        <w:t xml:space="preserve">(w calach oraz stopach),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3 libelle</w:t>
      </w:r>
      <w:r>
        <w:t xml:space="preserve"> </w:t>
      </w:r>
      <w:r>
        <w:t xml:space="preserve">przeznaczone do celów ustawczych w każdej płaszczyźnie.</w:t>
      </w:r>
    </w:p>
    <w:p>
      <w:r>
        <w:pict>
          <v:rect style="width:0;height:1.5pt" o:hralign="center" o:hrstd="t" o:hr="t"/>
        </w:pict>
      </w:r>
    </w:p>
    <w:bookmarkEnd w:id="20"/>
    <w:bookmarkStart w:id="21" w:name="instrukcja-wymiany-baterii"/>
    <w:p>
      <w:pPr>
        <w:pStyle w:val="Heading2"/>
      </w:pPr>
      <w:r>
        <w:t xml:space="preserve">Instrukcja wymiany baterii</w:t>
      </w:r>
    </w:p>
    <w:p>
      <w:pPr>
        <w:pStyle w:val="Compact"/>
        <w:numPr>
          <w:ilvl w:val="0"/>
          <w:numId w:val="1001"/>
        </w:numPr>
      </w:pPr>
      <w:r>
        <w:t xml:space="preserve">Należy prawidłowo włożyć baterie, zwracając uwagę na biegunowość</w:t>
      </w:r>
      <w:r>
        <w:t xml:space="preserve"> </w:t>
      </w:r>
      <w:r>
        <w:rPr>
          <w:b/>
          <w:bCs/>
        </w:rPr>
        <w:t xml:space="preserve">+/−</w:t>
      </w:r>
      <w:r>
        <w:t xml:space="preserve">.</w:t>
      </w:r>
    </w:p>
    <w:p>
      <w:pPr>
        <w:pStyle w:val="Compact"/>
        <w:numPr>
          <w:ilvl w:val="0"/>
          <w:numId w:val="1001"/>
        </w:numPr>
      </w:pPr>
      <w:r>
        <w:t xml:space="preserve">Używać baterii</w:t>
      </w:r>
      <w:r>
        <w:t xml:space="preserve"> </w:t>
      </w:r>
      <w:r>
        <w:rPr>
          <w:b/>
          <w:bCs/>
        </w:rPr>
        <w:t xml:space="preserve">jednego typu</w:t>
      </w:r>
      <w:r>
        <w:t xml:space="preserve">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Zawsze wymieniaj cały komplet</w:t>
      </w:r>
      <w:r>
        <w:t xml:space="preserve"> </w:t>
      </w:r>
      <w:r>
        <w:t xml:space="preserve">baterii.</w:t>
      </w:r>
    </w:p>
    <w:p>
      <w:pPr>
        <w:pStyle w:val="Compact"/>
        <w:numPr>
          <w:ilvl w:val="0"/>
          <w:numId w:val="1001"/>
        </w:numPr>
      </w:pPr>
      <w:r>
        <w:t xml:space="preserve">Wyczerpane baterie należy</w:t>
      </w:r>
      <w:r>
        <w:t xml:space="preserve"> </w:t>
      </w:r>
      <w:r>
        <w:rPr>
          <w:b/>
          <w:bCs/>
        </w:rPr>
        <w:t xml:space="preserve">niezwłocznie wyjąć</w:t>
      </w:r>
      <w:r>
        <w:t xml:space="preserve"> </w:t>
      </w:r>
      <w:r>
        <w:t xml:space="preserve">z urządzenia;</w:t>
      </w:r>
      <w:r>
        <w:t xml:space="preserve"> </w:t>
      </w:r>
      <w:r>
        <w:rPr>
          <w:b/>
          <w:bCs/>
        </w:rPr>
        <w:t xml:space="preserve">nigdy</w:t>
      </w:r>
      <w:r>
        <w:t xml:space="preserve"> </w:t>
      </w:r>
      <w:r>
        <w:t xml:space="preserve">nie wrzucać baterii do ognia.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Nie</w:t>
      </w:r>
      <w:r>
        <w:t xml:space="preserve"> </w:t>
      </w:r>
      <w:r>
        <w:t xml:space="preserve">próbować ładować zwykłych baterii.</w:t>
      </w:r>
    </w:p>
    <w:p>
      <w:pPr>
        <w:pStyle w:val="Compact"/>
        <w:numPr>
          <w:ilvl w:val="0"/>
          <w:numId w:val="1001"/>
        </w:numPr>
      </w:pPr>
      <w:r>
        <w:t xml:space="preserve">Nieużywane baterie przechowywać w opakowaniu,</w:t>
      </w:r>
      <w:r>
        <w:t xml:space="preserve"> </w:t>
      </w:r>
      <w:r>
        <w:rPr>
          <w:b/>
          <w:bCs/>
        </w:rPr>
        <w:t xml:space="preserve">z dala od metalowych obiektów</w:t>
      </w:r>
      <w:r>
        <w:t xml:space="preserve">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Nie zostawiać dzieci bez nadzoru.</w:t>
      </w:r>
    </w:p>
    <w:p>
      <w:pPr>
        <w:pStyle w:val="BlockText"/>
      </w:pPr>
      <w:r>
        <w:rPr>
          <w:b/>
          <w:bCs/>
        </w:rPr>
        <w:t xml:space="preserve">Uwaga:</w:t>
      </w:r>
      <w:r>
        <w:t xml:space="preserve"> </w:t>
      </w:r>
      <w:r>
        <w:t xml:space="preserve">Zasilanie lasera:</w:t>
      </w:r>
      <w:r>
        <w:t xml:space="preserve"> </w:t>
      </w:r>
      <w:r>
        <w:rPr>
          <w:b/>
          <w:bCs/>
        </w:rPr>
        <w:t xml:space="preserve">3 × bateria AG13</w:t>
      </w:r>
      <w:r>
        <w:t xml:space="preserve"> </w:t>
      </w:r>
      <w:r>
        <w:t xml:space="preserve">(baterie w zestawie).</w:t>
      </w:r>
    </w:p>
    <w:p>
      <w:r>
        <w:pict>
          <v:rect style="width:0;height:1.5pt" o:hralign="center" o:hrstd="t" o:hr="t"/>
        </w:pict>
      </w:r>
    </w:p>
    <w:bookmarkEnd w:id="21"/>
    <w:bookmarkStart w:id="22" w:name="wskazówka"/>
    <w:p>
      <w:pPr>
        <w:pStyle w:val="Heading2"/>
      </w:pPr>
      <w:r>
        <w:t xml:space="preserve">Wskazówka</w:t>
      </w:r>
    </w:p>
    <w:p>
      <w:pPr>
        <w:pStyle w:val="Compact"/>
        <w:numPr>
          <w:ilvl w:val="0"/>
          <w:numId w:val="1002"/>
        </w:numPr>
      </w:pPr>
      <w:r>
        <w:t xml:space="preserve">Urządzenie należy sprawdzić pod kątem kompletności dostawy i występowania widocznych uszkodzeń.</w:t>
      </w:r>
    </w:p>
    <w:p>
      <w:pPr>
        <w:pStyle w:val="Compact"/>
        <w:numPr>
          <w:ilvl w:val="0"/>
          <w:numId w:val="1002"/>
        </w:numPr>
      </w:pPr>
      <w:r>
        <w:t xml:space="preserve">W przypadku niekompletnej dostawy bądź stwierdzenia uszkodzeń wskutek wadliwego opakowania lub transportu należy skontaktować się z infolinią serwisową.</w:t>
      </w:r>
    </w:p>
    <w:p>
      <w:r>
        <w:pict>
          <v:rect style="width:0;height:1.5pt" o:hralign="center" o:hrstd="t" o:hr="t"/>
        </w:pict>
      </w:r>
    </w:p>
    <w:bookmarkEnd w:id="22"/>
    <w:bookmarkStart w:id="24" w:name="dane-techniczne-urządzenia"/>
    <w:p>
      <w:pPr>
        <w:pStyle w:val="Heading2"/>
      </w:pPr>
      <w:r>
        <w:t xml:space="preserve">Dane techniczne urządzenia</w:t>
      </w:r>
    </w:p>
    <w:p>
      <w:pPr>
        <w:pStyle w:val="Compact"/>
        <w:numPr>
          <w:ilvl w:val="0"/>
          <w:numId w:val="1003"/>
        </w:numPr>
      </w:pPr>
      <w:r>
        <w:t xml:space="preserve">Wykonana z wysokiej jakości materiałów</w:t>
      </w:r>
    </w:p>
    <w:p>
      <w:pPr>
        <w:pStyle w:val="Compact"/>
        <w:numPr>
          <w:ilvl w:val="0"/>
          <w:numId w:val="1003"/>
        </w:numPr>
      </w:pPr>
      <w:r>
        <w:t xml:space="preserve">Posiada wbudowany laser</w:t>
      </w:r>
    </w:p>
    <w:p>
      <w:pPr>
        <w:pStyle w:val="Compact"/>
        <w:numPr>
          <w:ilvl w:val="0"/>
          <w:numId w:val="1003"/>
        </w:numPr>
      </w:pPr>
      <w:r>
        <w:t xml:space="preserve">Regulacja lasera:</w:t>
      </w:r>
      <w:r>
        <w:t xml:space="preserve"> </w:t>
      </w:r>
      <w:r>
        <w:rPr>
          <w:b/>
          <w:bCs/>
        </w:rPr>
        <w:t xml:space="preserve">pion / poziom / krzyż</w:t>
      </w:r>
    </w:p>
    <w:p>
      <w:pPr>
        <w:pStyle w:val="Compact"/>
        <w:numPr>
          <w:ilvl w:val="0"/>
          <w:numId w:val="1003"/>
        </w:numPr>
      </w:pPr>
      <w:r>
        <w:t xml:space="preserve">Bardzo czytelna miarka standardowa do</w:t>
      </w:r>
      <w:r>
        <w:t xml:space="preserve"> </w:t>
      </w:r>
      <w:r>
        <w:rPr>
          <w:b/>
          <w:bCs/>
        </w:rPr>
        <w:t xml:space="preserve">15 cm</w:t>
      </w:r>
    </w:p>
    <w:p>
      <w:pPr>
        <w:pStyle w:val="Compact"/>
        <w:numPr>
          <w:ilvl w:val="0"/>
          <w:numId w:val="1003"/>
        </w:numPr>
      </w:pPr>
      <w:r>
        <w:t xml:space="preserve">Bardzo czytelna miarka zwijana do</w:t>
      </w:r>
      <w:r>
        <w:t xml:space="preserve"> </w:t>
      </w:r>
      <w:r>
        <w:rPr>
          <w:b/>
          <w:bCs/>
        </w:rPr>
        <w:t xml:space="preserve">250 cm</w:t>
      </w:r>
    </w:p>
    <w:p>
      <w:pPr>
        <w:pStyle w:val="Compact"/>
        <w:numPr>
          <w:ilvl w:val="0"/>
          <w:numId w:val="1003"/>
        </w:numPr>
      </w:pPr>
      <w:r>
        <w:t xml:space="preserve">Podziałka miarki:</w:t>
      </w:r>
      <w:r>
        <w:t xml:space="preserve"> </w:t>
      </w:r>
      <w:r>
        <w:rPr>
          <w:b/>
          <w:bCs/>
        </w:rPr>
        <w:t xml:space="preserve">cm / cale / stopy</w:t>
      </w:r>
    </w:p>
    <w:p>
      <w:pPr>
        <w:pStyle w:val="Compact"/>
        <w:numPr>
          <w:ilvl w:val="0"/>
          <w:numId w:val="1003"/>
        </w:numPr>
      </w:pPr>
      <w:r>
        <w:t xml:space="preserve">Możliwość</w:t>
      </w:r>
      <w:r>
        <w:t xml:space="preserve"> </w:t>
      </w:r>
      <w:r>
        <w:rPr>
          <w:b/>
          <w:bCs/>
        </w:rPr>
        <w:t xml:space="preserve">blokady pomiaru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Automatyczne zwijanie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3 libelle</w:t>
      </w:r>
      <w:r>
        <w:t xml:space="preserve"> </w:t>
      </w:r>
      <w:r>
        <w:t xml:space="preserve">do celów ustawczych</w:t>
      </w:r>
    </w:p>
    <w:p>
      <w:pPr>
        <w:pStyle w:val="Compact"/>
        <w:numPr>
          <w:ilvl w:val="0"/>
          <w:numId w:val="1003"/>
        </w:numPr>
      </w:pPr>
      <w:r>
        <w:t xml:space="preserve">Wymiary:</w:t>
      </w:r>
      <w:r>
        <w:t xml:space="preserve"> </w:t>
      </w:r>
      <w:r>
        <w:rPr>
          <w:b/>
          <w:bCs/>
        </w:rPr>
        <w:t xml:space="preserve">19 cm × 2,8 cm × 6 cm</w:t>
      </w:r>
    </w:p>
    <w:bookmarkStart w:id="23" w:name="specyfikacja-techniczna-lasera"/>
    <w:p>
      <w:pPr>
        <w:pStyle w:val="Heading3"/>
      </w:pPr>
      <w:r>
        <w:t xml:space="preserve">Specyfikacja techniczna lasera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Klasa lasera:</w:t>
      </w:r>
      <w:r>
        <w:t xml:space="preserve"> </w:t>
      </w:r>
      <w:r>
        <w:t xml:space="preserve">IIIA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Maksymalna moc:</w:t>
      </w:r>
      <w:r>
        <w:t xml:space="preserve"> </w:t>
      </w:r>
      <w:r>
        <w:t xml:space="preserve">5 mW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Długość wiązki:</w:t>
      </w:r>
      <w:r>
        <w:t xml:space="preserve"> </w:t>
      </w:r>
      <w:r>
        <w:t xml:space="preserve">630–650 nm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Zasilanie lasera:</w:t>
      </w:r>
      <w:r>
        <w:t xml:space="preserve"> </w:t>
      </w:r>
      <w:r>
        <w:t xml:space="preserve">3 × bateria</w:t>
      </w:r>
      <w:r>
        <w:t xml:space="preserve"> </w:t>
      </w:r>
      <w:r>
        <w:rPr>
          <w:b/>
          <w:bCs/>
        </w:rPr>
        <w:t xml:space="preserve">AG13</w:t>
      </w:r>
      <w:r>
        <w:t xml:space="preserve"> </w:t>
      </w:r>
      <w:r>
        <w:t xml:space="preserve">(gratis w zestawie)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Wyłącznik:</w:t>
      </w:r>
      <w:r>
        <w:t xml:space="preserve"> </w:t>
      </w:r>
      <w:r>
        <w:t xml:space="preserve">On/Off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5" w:name="zestaw-zawiera"/>
    <w:p>
      <w:pPr>
        <w:pStyle w:val="Heading2"/>
      </w:pPr>
      <w:r>
        <w:t xml:space="preserve">Zestaw zawiera</w:t>
      </w:r>
    </w:p>
    <w:p>
      <w:pPr>
        <w:pStyle w:val="Compact"/>
        <w:numPr>
          <w:ilvl w:val="0"/>
          <w:numId w:val="1005"/>
        </w:numPr>
      </w:pPr>
      <w:r>
        <w:t xml:space="preserve">Fabrycznie nową poziomicę laserową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6 × bateria AG13</w:t>
      </w:r>
    </w:p>
    <w:p>
      <w:r>
        <w:pict>
          <v:rect style="width:0;height:1.5pt" o:hralign="center" o:hrstd="t" o:hr="t"/>
        </w:pict>
      </w:r>
    </w:p>
    <w:bookmarkEnd w:id="25"/>
    <w:bookmarkStart w:id="27" w:name="wskazówki-bezpieczeństwa"/>
    <w:p>
      <w:pPr>
        <w:pStyle w:val="Heading2"/>
      </w:pPr>
      <w:r>
        <w:t xml:space="preserve">Wskazówki bezpieczeństwa</w:t>
      </w:r>
    </w:p>
    <w:p>
      <w:pPr>
        <w:pStyle w:val="Compact"/>
        <w:numPr>
          <w:ilvl w:val="0"/>
          <w:numId w:val="1006"/>
        </w:numPr>
      </w:pPr>
      <w:r>
        <w:t xml:space="preserve">Produkt może być używany przez dzieci od lat 8 oraz przez osoby z obniżonymi zdolnościami fizycznymi, sensorycznymi lub mentalnymi albo brakiem doświadczenia lub wiedzy,</w:t>
      </w:r>
      <w:r>
        <w:t xml:space="preserve"> </w:t>
      </w:r>
      <w:r>
        <w:rPr>
          <w:b/>
          <w:bCs/>
        </w:rPr>
        <w:t xml:space="preserve">jeśli są pod nadzorem</w:t>
      </w:r>
      <w:r>
        <w:t xml:space="preserve"> </w:t>
      </w:r>
      <w:r>
        <w:t xml:space="preserve">lub zostały pouczone w kwestii bezpiecznego użycia produktu i rozumieją wynikające z niego zagrożenia.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Nigdy</w:t>
      </w:r>
      <w:r>
        <w:t xml:space="preserve"> </w:t>
      </w:r>
      <w:r>
        <w:t xml:space="preserve">nie zanurzać urządzenia w wodzie.</w:t>
      </w:r>
    </w:p>
    <w:p>
      <w:pPr>
        <w:pStyle w:val="Compact"/>
        <w:numPr>
          <w:ilvl w:val="0"/>
          <w:numId w:val="1006"/>
        </w:numPr>
      </w:pPr>
      <w:r>
        <w:t xml:space="preserve">Do czyszczenia używać wilgotnej ściereczki, ewentualnie łagodnego detergentu.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Nie używać uszkodzonego urządzenia.</w:t>
      </w:r>
    </w:p>
    <w:p>
      <w:pPr>
        <w:pStyle w:val="Compact"/>
        <w:numPr>
          <w:ilvl w:val="0"/>
          <w:numId w:val="1006"/>
        </w:numPr>
      </w:pPr>
      <w:r>
        <w:t xml:space="preserve">Produkt nie jest przeznaczony do zabawy przez dzieci.</w:t>
      </w:r>
    </w:p>
    <w:p>
      <w:pPr>
        <w:pStyle w:val="Compact"/>
        <w:numPr>
          <w:ilvl w:val="0"/>
          <w:numId w:val="1006"/>
        </w:numPr>
      </w:pPr>
      <w:r>
        <w:t xml:space="preserve">Dopilnować, aby materiały opakowaniowe nie zostały pozostawione bez nadzoru – dzieci mogą się nimi bawić, co jest niebezpieczne.</w:t>
      </w:r>
    </w:p>
    <w:p>
      <w:pPr>
        <w:pStyle w:val="Compact"/>
        <w:numPr>
          <w:ilvl w:val="0"/>
          <w:numId w:val="1006"/>
        </w:numPr>
      </w:pPr>
      <w:r>
        <w:t xml:space="preserve">Chronić produkt przed ekstremalnymi temperaturami, bezpośrednim światłem słonecznym, silnymi wibracjami, wysoką wilgotnością, wilgocią, palnymi gazami, oparami i rozpuszczalnikami.</w:t>
      </w:r>
    </w:p>
    <w:p>
      <w:pPr>
        <w:pStyle w:val="Compact"/>
        <w:numPr>
          <w:ilvl w:val="0"/>
          <w:numId w:val="1006"/>
        </w:numPr>
      </w:pPr>
      <w:r>
        <w:t xml:space="preserve">Nie narażać produktu na obciążenia mechaniczne.</w:t>
      </w:r>
    </w:p>
    <w:p>
      <w:pPr>
        <w:pStyle w:val="Compact"/>
        <w:numPr>
          <w:ilvl w:val="0"/>
          <w:numId w:val="1006"/>
        </w:numPr>
      </w:pPr>
      <w:r>
        <w:t xml:space="preserve">Jeśli bezpieczna praca nie jest dłużej możliwa, należy przerwać użytkowanie i zabezpieczyć produkt przed ponownym użyciem. Bezpieczna praca nie jest możliwa, jeśli produkt: został uszkodzony, nie działa prawidłowo, był przechowywany przez dłuższy okres czasu w niekorzystnych warunkach lub został nadmiernie obciążony podczas transportu.</w:t>
      </w:r>
    </w:p>
    <w:p>
      <w:pPr>
        <w:pStyle w:val="Compact"/>
        <w:numPr>
          <w:ilvl w:val="0"/>
          <w:numId w:val="1006"/>
        </w:numPr>
      </w:pPr>
      <w:r>
        <w:t xml:space="preserve">Zabrania się używania produktu w przypadku uszkodzenia jakiejkolwiek jego części. W przypadku uszkodzenia przewodu zabrania się dokonywania samodzielnych napraw.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Nie demontuj urządzenia samodzielnie.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Nie</w:t>
      </w:r>
      <w:r>
        <w:t xml:space="preserve"> </w:t>
      </w:r>
      <w:r>
        <w:t xml:space="preserve">używać starych i nowych baterii jednocześnie, różnych marek ani różnych środków chemicznych.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Nie</w:t>
      </w:r>
      <w:r>
        <w:t xml:space="preserve"> </w:t>
      </w:r>
      <w:r>
        <w:t xml:space="preserve">ładować, uszkadzać ani otwierać baterii.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Nie połykać</w:t>
      </w:r>
      <w:r>
        <w:t xml:space="preserve"> </w:t>
      </w:r>
      <w:r>
        <w:t xml:space="preserve">baterii. W przypadku połknięcia baterii należy</w:t>
      </w:r>
      <w:r>
        <w:t xml:space="preserve"> </w:t>
      </w:r>
      <w:r>
        <w:rPr>
          <w:b/>
          <w:bCs/>
        </w:rPr>
        <w:t xml:space="preserve">natychmiast</w:t>
      </w:r>
      <w:r>
        <w:t xml:space="preserve"> </w:t>
      </w:r>
      <w:r>
        <w:t xml:space="preserve">skontaktować się z lekarzem.</w:t>
      </w:r>
    </w:p>
    <w:p>
      <w:pPr>
        <w:pStyle w:val="Compact"/>
        <w:numPr>
          <w:ilvl w:val="0"/>
          <w:numId w:val="1006"/>
        </w:numPr>
      </w:pPr>
      <w:r>
        <w:t xml:space="preserve">Produkt należy zawsze używać</w:t>
      </w:r>
      <w:r>
        <w:t xml:space="preserve"> </w:t>
      </w:r>
      <w:r>
        <w:rPr>
          <w:b/>
          <w:bCs/>
        </w:rPr>
        <w:t xml:space="preserve">zgodnie z przeznaczeniem</w:t>
      </w:r>
      <w:r>
        <w:t xml:space="preserve">.</w:t>
      </w:r>
    </w:p>
    <w:bookmarkStart w:id="26" w:name="wskazówki-dotyczące-bateriiakumulatorów"/>
    <w:p>
      <w:pPr>
        <w:pStyle w:val="Heading3"/>
      </w:pPr>
      <w:r>
        <w:t xml:space="preserve">Wskazówki dotyczące baterii/akumulatorów</w:t>
      </w:r>
    </w:p>
    <w:p>
      <w:pPr>
        <w:pStyle w:val="Compact"/>
        <w:numPr>
          <w:ilvl w:val="0"/>
          <w:numId w:val="1007"/>
        </w:numPr>
      </w:pPr>
      <w:r>
        <w:t xml:space="preserve">Baterie/akumulatory trzymać poza zasięgiem dzieci. W przypadku połknięcia należy</w:t>
      </w:r>
      <w:r>
        <w:t xml:space="preserve"> </w:t>
      </w:r>
      <w:r>
        <w:rPr>
          <w:b/>
          <w:bCs/>
        </w:rPr>
        <w:t xml:space="preserve">natychmiast</w:t>
      </w:r>
      <w:r>
        <w:t xml:space="preserve"> </w:t>
      </w:r>
      <w:r>
        <w:t xml:space="preserve">udać się do lekarza.</w:t>
      </w:r>
    </w:p>
    <w:p>
      <w:pPr>
        <w:pStyle w:val="Compact"/>
        <w:numPr>
          <w:ilvl w:val="0"/>
          <w:numId w:val="1007"/>
        </w:numPr>
      </w:pPr>
      <w:r>
        <w:t xml:space="preserve">Baterii jednorazowego użytku</w:t>
      </w:r>
      <w:r>
        <w:t xml:space="preserve"> </w:t>
      </w:r>
      <w:r>
        <w:rPr>
          <w:b/>
          <w:bCs/>
        </w:rPr>
        <w:t xml:space="preserve">nie wolno</w:t>
      </w:r>
      <w:r>
        <w:t xml:space="preserve"> </w:t>
      </w:r>
      <w:r>
        <w:t xml:space="preserve">ładować ponownie. Baterii/akumulatorów</w:t>
      </w:r>
      <w:r>
        <w:t xml:space="preserve"> </w:t>
      </w:r>
      <w:r>
        <w:rPr>
          <w:b/>
          <w:bCs/>
        </w:rPr>
        <w:t xml:space="preserve">nie należy</w:t>
      </w:r>
      <w:r>
        <w:t xml:space="preserve"> </w:t>
      </w:r>
      <w:r>
        <w:t xml:space="preserve">zwierać i/lub otwierać – grozi to przegrzaniem, pożarem lub wybuchem.</w:t>
      </w:r>
    </w:p>
    <w:p>
      <w:pPr>
        <w:pStyle w:val="Compact"/>
        <w:numPr>
          <w:ilvl w:val="0"/>
          <w:numId w:val="1007"/>
        </w:numPr>
      </w:pPr>
      <w:r>
        <w:t xml:space="preserve">Nigdy nie wrzucać baterii/akumulatorów do ognia lub wody.</w:t>
      </w:r>
    </w:p>
    <w:p>
      <w:pPr>
        <w:pStyle w:val="Compact"/>
        <w:numPr>
          <w:ilvl w:val="0"/>
          <w:numId w:val="1007"/>
        </w:numPr>
      </w:pPr>
      <w:r>
        <w:t xml:space="preserve">Nie narażać baterii/akumulatorów na obciążenia mechaniczne.</w:t>
      </w:r>
    </w:p>
    <w:p>
      <w:pPr>
        <w:pStyle w:val="Compact"/>
        <w:numPr>
          <w:ilvl w:val="0"/>
          <w:numId w:val="1007"/>
        </w:numPr>
      </w:pPr>
      <w:r>
        <w:t xml:space="preserve">Istnieje ryzyko wycieku elektrolitu z baterii/akumulatorów.</w:t>
      </w:r>
    </w:p>
    <w:p>
      <w:pPr>
        <w:pStyle w:val="Compact"/>
        <w:numPr>
          <w:ilvl w:val="0"/>
          <w:numId w:val="1007"/>
        </w:numPr>
      </w:pPr>
      <w:r>
        <w:t xml:space="preserve">Unikać ekstremalnych warunków i temperatur oddziałujących na baterie/akumulatory (np. kaloryfery, bezpośrednie promieniowanie słoneczne).</w:t>
      </w:r>
    </w:p>
    <w:p>
      <w:pPr>
        <w:pStyle w:val="Compact"/>
        <w:numPr>
          <w:ilvl w:val="0"/>
          <w:numId w:val="1007"/>
        </w:numPr>
      </w:pPr>
      <w:r>
        <w:t xml:space="preserve">W razie wycieku baterii/akumulatorów unikać kontaktu skóry, oczu i błon śluzowych z chemikaliami. Dotknięte miejsca natychmiast przepłukać czystą wodą i udać się do lekarza.</w:t>
      </w:r>
    </w:p>
    <w:p>
      <w:pPr>
        <w:pStyle w:val="Compact"/>
        <w:numPr>
          <w:ilvl w:val="0"/>
          <w:numId w:val="1007"/>
        </w:numPr>
      </w:pPr>
      <w:r>
        <w:t xml:space="preserve">Wylane lub uszkodzone baterie/akumulatory po kontakcie ze skórą mogą spowodować poparzenia chemiczne – stosować odpowiednie rękawice ochronne.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29" w:name="Xc20dfe27f1e391b906593bc9b2ae805899ea143"/>
    <w:p>
      <w:pPr>
        <w:pStyle w:val="Heading2"/>
      </w:pPr>
      <w:r>
        <w:t xml:space="preserve">Informacje dotyczące gospodarki odpadami i recyklingu</w:t>
      </w:r>
    </w:p>
    <w:p>
      <w:pPr>
        <w:pStyle w:val="FirstParagraph"/>
      </w:pPr>
      <w:r>
        <w:rPr>
          <w:b/>
          <w:bCs/>
        </w:rPr>
        <w:t xml:space="preserve">Opakowanie</w:t>
      </w:r>
      <w:r>
        <w:t xml:space="preserve"> </w:t>
      </w:r>
      <w:r>
        <w:t xml:space="preserve">wykonane jest z materiałów przyjaznych dla środowiska i może być przekazane do utylizacji w lokalnym punkcie przetwarzania surowców wtórnych. Zużyty materiał opakowaniowy należy dostarczyć do punktu przeznaczonego do składowania odpadów, wyznaczonego przez urzędy lokalne.</w:t>
      </w:r>
    </w:p>
    <w:p>
      <w:pPr>
        <w:pStyle w:val="BodyText"/>
      </w:pPr>
      <w:r>
        <w:t xml:space="preserve">Informacji na temat możliwości utylizacji wyeksploatowanego produktu udziela urząd gminy lub miasta.</w:t>
      </w:r>
    </w:p>
    <w:bookmarkStart w:id="28" w:name="Xc3822b0b53b97ab6615582db7f15d6ebb30ef7e"/>
    <w:p>
      <w:pPr>
        <w:pStyle w:val="Heading3"/>
      </w:pPr>
      <w:r>
        <w:t xml:space="preserve">Utylizacja zużytych urządzeń elektrycznych i elektronicznych</w:t>
      </w:r>
    </w:p>
    <w:p>
      <w:pPr>
        <w:pStyle w:val="FirstParagraph"/>
      </w:pPr>
      <w:r>
        <w:t xml:space="preserve">Zużytych wyrobów elektrycznych i elektronicznych, ze względu na ochronę środowiska,</w:t>
      </w:r>
      <w:r>
        <w:t xml:space="preserve"> </w:t>
      </w:r>
      <w:r>
        <w:rPr>
          <w:b/>
          <w:bCs/>
        </w:rPr>
        <w:t xml:space="preserve">nie wolno</w:t>
      </w:r>
      <w:r>
        <w:t xml:space="preserve"> </w:t>
      </w:r>
      <w:r>
        <w:t xml:space="preserve">wyrzucać wraz ze zwykłymi odpadami komunalnymi. Należy je przekazać do odpowiedniego punktu zbiórki.</w:t>
      </w:r>
    </w:p>
    <w:p>
      <w:pPr>
        <w:pStyle w:val="BodyText"/>
      </w:pPr>
      <w:r>
        <w:t xml:space="preserve">Ten produkt jest zgodny z wymaganiami odpowiednich dyrektyw europejskich i krajowych. Spełnia europejskie oraz krajowe wymagania bezpieczeństwa urządzeń i produktów. Produkt spełnia wymogi</w:t>
      </w:r>
      <w:r>
        <w:t xml:space="preserve"> </w:t>
      </w:r>
      <w:r>
        <w:rPr>
          <w:b/>
          <w:bCs/>
        </w:rPr>
        <w:t xml:space="preserve">RoHS</w:t>
      </w:r>
      <w:r>
        <w:t xml:space="preserve">.</w:t>
      </w:r>
    </w:p>
    <w:p>
      <w:pPr>
        <w:pStyle w:val="BlockText"/>
      </w:pPr>
      <w:r>
        <w:rPr>
          <w:b/>
          <w:bCs/>
        </w:rPr>
        <w:t xml:space="preserve">Uwaga środowiskowa:</w:t>
      </w:r>
      <w:r>
        <w:t xml:space="preserve"> </w:t>
      </w:r>
      <w:r>
        <w:t xml:space="preserve">Niewłaściwa utylizacja baterii/akumulatorów stwarza zagrożenie dla środowiska. Baterii/akumulatorów</w:t>
      </w:r>
      <w:r>
        <w:t xml:space="preserve"> </w:t>
      </w:r>
      <w:r>
        <w:rPr>
          <w:b/>
          <w:bCs/>
        </w:rPr>
        <w:t xml:space="preserve">nie należy</w:t>
      </w:r>
      <w:r>
        <w:t xml:space="preserve"> </w:t>
      </w:r>
      <w:r>
        <w:t xml:space="preserve">wyrzucać razem z odpadami domowymi. Mogą zawierać szkodliwe metale ciężkie i należy je traktować jako odpady specjalne. Symbole chemiczne metali ciężkich:</w:t>
      </w:r>
      <w:r>
        <w:t xml:space="preserve"> </w:t>
      </w:r>
      <w:r>
        <w:rPr>
          <w:b/>
          <w:bCs/>
        </w:rPr>
        <w:t xml:space="preserve">Cd = kadm, Hg = rtęć, Pb = ołów</w:t>
      </w:r>
      <w:r>
        <w:t xml:space="preserve">. Zużyte baterie/akumulatory należy przekazywać do komunalnych punktów gromadzenia odpadów niebezpiecznych.</w:t>
      </w:r>
    </w:p>
    <w:p>
      <w:pPr>
        <w:pStyle w:val="BlockText"/>
      </w:pPr>
      <w:r>
        <w:rPr>
          <w:b/>
          <w:bCs/>
        </w:rPr>
        <w:t xml:space="preserve">Ważne:</w:t>
      </w:r>
      <w:r>
        <w:t xml:space="preserve"> </w:t>
      </w:r>
      <w:r>
        <w:t xml:space="preserve">Wbudowany akumulator</w:t>
      </w:r>
      <w:r>
        <w:t xml:space="preserve"> </w:t>
      </w:r>
      <w:r>
        <w:rPr>
          <w:b/>
          <w:bCs/>
        </w:rPr>
        <w:t xml:space="preserve">nie może</w:t>
      </w:r>
      <w:r>
        <w:t xml:space="preserve"> </w:t>
      </w:r>
      <w:r>
        <w:t xml:space="preserve">być rozmontowywany w celu utylizacji. Produkt należy przekazać</w:t>
      </w:r>
      <w:r>
        <w:t xml:space="preserve"> </w:t>
      </w:r>
      <w:r>
        <w:rPr>
          <w:b/>
          <w:bCs/>
        </w:rPr>
        <w:t xml:space="preserve">w całości</w:t>
      </w:r>
      <w:r>
        <w:t xml:space="preserve"> </w:t>
      </w:r>
      <w:r>
        <w:t xml:space="preserve">w punkcie zbiórki zużytej elektroniki.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0" w:name="kontakt-i-wsparcie"/>
    <w:p>
      <w:pPr>
        <w:pStyle w:val="Heading2"/>
      </w:pPr>
      <w:r>
        <w:t xml:space="preserve">Kontakt i wsparcie</w:t>
      </w:r>
    </w:p>
    <w:p>
      <w:pPr>
        <w:pStyle w:val="FirstParagraph"/>
      </w:pPr>
      <w:r>
        <w:t xml:space="preserve">W przypadku pytań dotyczących użytkowania, braków w komplecie lub uszkodzeń powstałych podczas transportu skontaktuj się z infolinią serwisową producenta/dystrybutora.</w:t>
      </w:r>
    </w:p>
    <w:bookmarkEnd w:id="30"/>
    <w:bookmarkEnd w:id="3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2025-09-26T06:09:55Z</dcterms:created>
  <dcterms:modified xsi:type="dcterms:W3CDTF">2025-09-26T06:09:55Z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